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bookmarkStart w:id="1" w:name="_GoBack"/>
            <w:bookmarkEnd w:id="1"/>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31F20DE5"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March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2C69F6AC"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DE1234" w:rsidRDefault="000E2994" w:rsidP="000E2994">
            <w:pPr>
              <w:rPr>
                <w:rFonts w:ascii="Arial Narrow" w:hAnsi="Arial Narrow"/>
                <w:b/>
                <w:bCs/>
                <w:color w:val="000000"/>
                <w:sz w:val="20"/>
                <w:szCs w:val="20"/>
              </w:rPr>
            </w:pP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39DFEBC"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2"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8E6935">
        <w:trPr>
          <w:trHeight w:val="1815"/>
        </w:trPr>
        <w:tc>
          <w:tcPr>
            <w:tcW w:w="1560" w:type="dxa"/>
          </w:tcPr>
          <w:p w14:paraId="5C0DD28C" w14:textId="287D7815"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60273519"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08AF8211"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7DF9FECF"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09BBFAE0" w14:textId="212A65BA"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t xml:space="preserve"> </w:t>
            </w:r>
          </w:p>
          <w:p w14:paraId="0B940D0A" w14:textId="77777777" w:rsidR="000E2994" w:rsidRPr="00766991" w:rsidRDefault="000E2994" w:rsidP="00263D6F">
            <w:pPr>
              <w:spacing w:before="120"/>
              <w:rPr>
                <w:rFonts w:ascii="Arial Narrow" w:hAnsi="Arial Narrow"/>
                <w:color w:val="FF0000"/>
                <w:sz w:val="20"/>
                <w:szCs w:val="20"/>
              </w:rPr>
            </w:pPr>
          </w:p>
        </w:tc>
        <w:tc>
          <w:tcPr>
            <w:tcW w:w="1345" w:type="dxa"/>
          </w:tcPr>
          <w:p w14:paraId="49C4EBCF" w14:textId="77777777" w:rsidR="000E2994" w:rsidRPr="002A19E8" w:rsidRDefault="000E2994" w:rsidP="00263D6F">
            <w:pPr>
              <w:spacing w:before="120"/>
              <w:rPr>
                <w:rFonts w:ascii="Arial Narrow" w:hAnsi="Arial Narrow"/>
                <w:color w:val="FF0000"/>
                <w:sz w:val="12"/>
                <w:szCs w:val="20"/>
              </w:rPr>
            </w:pPr>
          </w:p>
          <w:p w14:paraId="2297405D" w14:textId="77777777" w:rsidR="000E2994" w:rsidRPr="001B1C8C" w:rsidRDefault="000E2994" w:rsidP="00263D6F">
            <w:pPr>
              <w:spacing w:before="120"/>
              <w:rPr>
                <w:rFonts w:ascii="Arial Narrow" w:hAnsi="Arial Narrow"/>
                <w:color w:val="FF0000"/>
                <w:sz w:val="20"/>
                <w:szCs w:val="20"/>
              </w:rPr>
            </w:pPr>
          </w:p>
        </w:tc>
        <w:tc>
          <w:tcPr>
            <w:tcW w:w="1496" w:type="dxa"/>
          </w:tcPr>
          <w:p w14:paraId="1F8CF34C" w14:textId="77777777" w:rsidR="000E2994" w:rsidRDefault="000E2994" w:rsidP="00263D6F">
            <w:pPr>
              <w:spacing w:before="120"/>
              <w:jc w:val="center"/>
              <w:rPr>
                <w:rFonts w:ascii="Arial Narrow" w:hAnsi="Arial Narrow"/>
                <w:sz w:val="20"/>
                <w:szCs w:val="20"/>
              </w:rPr>
            </w:pPr>
          </w:p>
          <w:p w14:paraId="7D5E7755" w14:textId="77777777" w:rsidR="000E2994" w:rsidRPr="002308BD" w:rsidRDefault="000E2994" w:rsidP="00263D6F">
            <w:pPr>
              <w:spacing w:before="120"/>
              <w:jc w:val="center"/>
              <w:rPr>
                <w:rFonts w:ascii="Arial Narrow" w:hAnsi="Arial Narrow"/>
                <w:sz w:val="20"/>
                <w:szCs w:val="20"/>
              </w:rPr>
            </w:pP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103333C" w14:textId="3B6E5B4B"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52D160CF" w14:textId="77777777" w:rsidR="000E2994" w:rsidRPr="0082735D" w:rsidRDefault="000E2994" w:rsidP="00263D6F">
            <w:pPr>
              <w:spacing w:before="120"/>
              <w:rPr>
                <w:rFonts w:ascii="Arial Narrow" w:hAnsi="Arial Narrow"/>
                <w:sz w:val="20"/>
                <w:szCs w:val="20"/>
              </w:rPr>
            </w:pPr>
          </w:p>
        </w:tc>
      </w:tr>
      <w:bookmarkEnd w:id="2"/>
    </w:tbl>
    <w:p w14:paraId="37AD30AF" w14:textId="77777777"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662BA2BE" w14:textId="77777777" w:rsidTr="00E84F55">
        <w:trPr>
          <w:trHeight w:val="711"/>
        </w:trPr>
        <w:tc>
          <w:tcPr>
            <w:tcW w:w="1560" w:type="dxa"/>
            <w:vMerge w:val="restart"/>
            <w:shd w:val="clear" w:color="auto" w:fill="D9D9D9" w:themeFill="background1" w:themeFillShade="D9"/>
          </w:tcPr>
          <w:p w14:paraId="7F93FD10" w14:textId="77777777" w:rsidR="00E84F55" w:rsidRPr="002308BD" w:rsidRDefault="00E84F55" w:rsidP="00503C57">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737700B"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503C57">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440B068"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E84F55">
        <w:trPr>
          <w:trHeight w:val="300"/>
        </w:trPr>
        <w:tc>
          <w:tcPr>
            <w:tcW w:w="1560" w:type="dxa"/>
            <w:vMerge/>
            <w:shd w:val="clear" w:color="auto" w:fill="D9D9D9" w:themeFill="background1" w:themeFillShade="D9"/>
          </w:tcPr>
          <w:p w14:paraId="330F36E7" w14:textId="77777777" w:rsidR="00E84F55" w:rsidRPr="002308BD" w:rsidRDefault="00E84F55" w:rsidP="00503C57">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503C57">
            <w:pPr>
              <w:jc w:val="cente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E84F55" w:rsidRPr="002308BD" w:rsidRDefault="00E84F55" w:rsidP="00503C57">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E84F55" w:rsidRPr="002308BD" w:rsidRDefault="00E84F55" w:rsidP="00503C57">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503C57">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503C57">
            <w:pPr>
              <w:jc w:val="center"/>
              <w:rPr>
                <w:rFonts w:ascii="Arial Narrow" w:hAnsi="Arial Narrow"/>
                <w:b/>
                <w:sz w:val="20"/>
                <w:szCs w:val="20"/>
              </w:rPr>
            </w:pPr>
          </w:p>
        </w:tc>
        <w:tc>
          <w:tcPr>
            <w:tcW w:w="448" w:type="dxa"/>
            <w:shd w:val="clear" w:color="auto" w:fill="D9D9D9" w:themeFill="background1" w:themeFillShade="D9"/>
          </w:tcPr>
          <w:p w14:paraId="588B0F4E"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RR</w:t>
            </w:r>
          </w:p>
        </w:tc>
      </w:tr>
      <w:tr w:rsidR="008E6935" w:rsidRPr="002308BD" w14:paraId="39FC7EDA" w14:textId="77777777" w:rsidTr="008E6935">
        <w:trPr>
          <w:trHeight w:val="1815"/>
        </w:trPr>
        <w:tc>
          <w:tcPr>
            <w:tcW w:w="1560" w:type="dxa"/>
          </w:tcPr>
          <w:p w14:paraId="0CC6A6E3" w14:textId="0F603338"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8E6935" w:rsidRPr="002308BD" w:rsidRDefault="008E6935" w:rsidP="008E6935">
            <w:pPr>
              <w:spacing w:before="120"/>
              <w:rPr>
                <w:rFonts w:ascii="Arial Narrow" w:hAnsi="Arial Narrow"/>
                <w:sz w:val="20"/>
                <w:szCs w:val="20"/>
              </w:rPr>
            </w:pPr>
          </w:p>
        </w:tc>
        <w:tc>
          <w:tcPr>
            <w:tcW w:w="1842" w:type="dxa"/>
          </w:tcPr>
          <w:p w14:paraId="75CE153A" w14:textId="77777777" w:rsidR="008E6935" w:rsidRDefault="008E6935" w:rsidP="008E6935">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7E114CCD" w14:textId="77777777" w:rsidR="008E6935" w:rsidRPr="002308BD" w:rsidRDefault="008E6935" w:rsidP="008E6935">
            <w:pPr>
              <w:spacing w:before="120"/>
              <w:rPr>
                <w:rFonts w:ascii="Arial Narrow" w:hAnsi="Arial Narrow"/>
                <w:sz w:val="20"/>
                <w:szCs w:val="20"/>
              </w:rPr>
            </w:pPr>
          </w:p>
        </w:tc>
        <w:tc>
          <w:tcPr>
            <w:tcW w:w="426" w:type="dxa"/>
          </w:tcPr>
          <w:p w14:paraId="78BC42B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695761A1" w14:textId="77777777" w:rsidR="008E6935" w:rsidRPr="00F33949" w:rsidRDefault="008E6935" w:rsidP="008E6935">
            <w:pPr>
              <w:spacing w:before="120"/>
              <w:jc w:val="center"/>
              <w:rPr>
                <w:rFonts w:ascii="Arial Narrow" w:hAnsi="Arial Narrow"/>
                <w:sz w:val="20"/>
                <w:szCs w:val="20"/>
              </w:rPr>
            </w:pPr>
          </w:p>
        </w:tc>
        <w:tc>
          <w:tcPr>
            <w:tcW w:w="425" w:type="dxa"/>
          </w:tcPr>
          <w:p w14:paraId="58495BE4"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11572414" w14:textId="77777777" w:rsidR="008E6935" w:rsidRPr="00F33949" w:rsidRDefault="008E6935" w:rsidP="008E6935">
            <w:pPr>
              <w:spacing w:before="120"/>
              <w:jc w:val="center"/>
              <w:rPr>
                <w:rFonts w:ascii="Arial Narrow" w:hAnsi="Arial Narrow"/>
                <w:sz w:val="20"/>
                <w:szCs w:val="20"/>
              </w:rPr>
            </w:pPr>
          </w:p>
        </w:tc>
        <w:tc>
          <w:tcPr>
            <w:tcW w:w="425" w:type="dxa"/>
          </w:tcPr>
          <w:p w14:paraId="570FDC78"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1689D332"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4077D259"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8E6935" w:rsidRPr="008E6935" w:rsidRDefault="008E6935" w:rsidP="008E6935">
            <w:pPr>
              <w:spacing w:before="120"/>
              <w:jc w:val="center"/>
              <w:rPr>
                <w:rFonts w:ascii="Arial Narrow" w:hAnsi="Arial Narrow"/>
                <w:sz w:val="20"/>
                <w:szCs w:val="20"/>
              </w:rPr>
            </w:pPr>
          </w:p>
        </w:tc>
        <w:tc>
          <w:tcPr>
            <w:tcW w:w="3260" w:type="dxa"/>
          </w:tcPr>
          <w:p w14:paraId="616BD487"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nose or mouth if their hands are not clean. </w:t>
            </w:r>
          </w:p>
          <w:p w14:paraId="695E5373"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worksurfaces, door handles, taps etc. are all thoroughly cleaned with an antibacterial cleaning substance.</w:t>
            </w:r>
          </w:p>
          <w:p w14:paraId="328D972C" w14:textId="02B909A5"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also work towards any cleaning / infection control requirements outlined by the client. </w:t>
            </w:r>
          </w:p>
          <w:p w14:paraId="3C3E0FD7" w14:textId="77777777" w:rsidR="008E6935" w:rsidRPr="00915DF5" w:rsidRDefault="00915DF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315200B1" w14:textId="044B3FEB" w:rsidR="00210BA7" w:rsidRPr="00210BA7" w:rsidRDefault="00926974"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tc>
        <w:tc>
          <w:tcPr>
            <w:tcW w:w="2879" w:type="dxa"/>
          </w:tcPr>
          <w:p w14:paraId="31F1634A" w14:textId="77777777" w:rsidR="008E6935" w:rsidRDefault="008E6935" w:rsidP="008E6935">
            <w:pPr>
              <w:spacing w:before="120"/>
              <w:rPr>
                <w:rFonts w:ascii="Arial Narrow" w:hAnsi="Arial Narrow"/>
                <w:color w:val="FF0000"/>
                <w:sz w:val="20"/>
                <w:szCs w:val="20"/>
              </w:rPr>
            </w:pPr>
            <w:r>
              <w:rPr>
                <w:rFonts w:ascii="Arial Narrow" w:hAnsi="Arial Narrow"/>
                <w:color w:val="FF0000"/>
                <w:sz w:val="20"/>
                <w:szCs w:val="20"/>
              </w:rPr>
              <w:t xml:space="preserve"> </w:t>
            </w:r>
          </w:p>
          <w:p w14:paraId="147AD152" w14:textId="77777777" w:rsidR="008E6935" w:rsidRPr="00766991" w:rsidRDefault="008E6935" w:rsidP="008E6935">
            <w:pPr>
              <w:spacing w:before="120"/>
              <w:rPr>
                <w:rFonts w:ascii="Arial Narrow" w:hAnsi="Arial Narrow"/>
                <w:color w:val="FF0000"/>
                <w:sz w:val="20"/>
                <w:szCs w:val="20"/>
              </w:rPr>
            </w:pPr>
          </w:p>
        </w:tc>
        <w:tc>
          <w:tcPr>
            <w:tcW w:w="1345" w:type="dxa"/>
          </w:tcPr>
          <w:p w14:paraId="46BCFC8C" w14:textId="77777777" w:rsidR="008E6935" w:rsidRPr="002A19E8" w:rsidRDefault="008E6935" w:rsidP="008E6935">
            <w:pPr>
              <w:spacing w:before="120"/>
              <w:rPr>
                <w:rFonts w:ascii="Arial Narrow" w:hAnsi="Arial Narrow"/>
                <w:color w:val="FF0000"/>
                <w:sz w:val="12"/>
                <w:szCs w:val="20"/>
              </w:rPr>
            </w:pPr>
          </w:p>
          <w:p w14:paraId="5B3164D1" w14:textId="77777777" w:rsidR="008E6935" w:rsidRPr="001B1C8C" w:rsidRDefault="008E6935" w:rsidP="008E6935">
            <w:pPr>
              <w:spacing w:before="120"/>
              <w:rPr>
                <w:rFonts w:ascii="Arial Narrow" w:hAnsi="Arial Narrow"/>
                <w:color w:val="FF0000"/>
                <w:sz w:val="20"/>
                <w:szCs w:val="20"/>
              </w:rPr>
            </w:pPr>
          </w:p>
        </w:tc>
        <w:tc>
          <w:tcPr>
            <w:tcW w:w="1496" w:type="dxa"/>
          </w:tcPr>
          <w:p w14:paraId="10F59D97" w14:textId="77777777" w:rsidR="008E6935" w:rsidRDefault="008E6935" w:rsidP="008E6935">
            <w:pPr>
              <w:spacing w:before="120"/>
              <w:jc w:val="center"/>
              <w:rPr>
                <w:rFonts w:ascii="Arial Narrow" w:hAnsi="Arial Narrow"/>
                <w:sz w:val="20"/>
                <w:szCs w:val="20"/>
              </w:rPr>
            </w:pPr>
          </w:p>
          <w:p w14:paraId="39AB6067" w14:textId="77777777" w:rsidR="008E6935" w:rsidRPr="002308BD" w:rsidRDefault="008E6935" w:rsidP="008E6935">
            <w:pPr>
              <w:spacing w:before="120"/>
              <w:jc w:val="center"/>
              <w:rPr>
                <w:rFonts w:ascii="Arial Narrow" w:hAnsi="Arial Narrow"/>
                <w:sz w:val="20"/>
                <w:szCs w:val="20"/>
              </w:rPr>
            </w:pPr>
          </w:p>
        </w:tc>
        <w:tc>
          <w:tcPr>
            <w:tcW w:w="448" w:type="dxa"/>
          </w:tcPr>
          <w:p w14:paraId="7E9E323F" w14:textId="784DEC48"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15FA8B22" w14:textId="77777777" w:rsidR="008E6935" w:rsidRPr="00A55CB5" w:rsidRDefault="008E6935" w:rsidP="008E6935">
            <w:pPr>
              <w:spacing w:before="120"/>
              <w:jc w:val="center"/>
              <w:rPr>
                <w:rFonts w:ascii="Arial Narrow" w:hAnsi="Arial Narrow"/>
                <w:sz w:val="20"/>
                <w:szCs w:val="20"/>
              </w:rPr>
            </w:pPr>
          </w:p>
        </w:tc>
        <w:tc>
          <w:tcPr>
            <w:tcW w:w="448" w:type="dxa"/>
          </w:tcPr>
          <w:p w14:paraId="47B84EB9" w14:textId="09BB1978"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04B0F1F7" w14:textId="77777777" w:rsidR="008E6935" w:rsidRPr="0082735D" w:rsidRDefault="008E6935" w:rsidP="008E6935">
            <w:pPr>
              <w:spacing w:before="120"/>
              <w:jc w:val="center"/>
              <w:rPr>
                <w:rFonts w:ascii="Arial Narrow" w:hAnsi="Arial Narrow"/>
                <w:sz w:val="20"/>
                <w:szCs w:val="20"/>
              </w:rPr>
            </w:pPr>
          </w:p>
        </w:tc>
        <w:tc>
          <w:tcPr>
            <w:tcW w:w="403" w:type="dxa"/>
          </w:tcPr>
          <w:p w14:paraId="133F53A5" w14:textId="6DD8ABBD"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7F789C48"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FFFF00"/>
          </w:tcPr>
          <w:p w14:paraId="65F25461"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M</w:t>
            </w:r>
          </w:p>
          <w:p w14:paraId="7ECA827A" w14:textId="77777777" w:rsidR="008E6935" w:rsidRPr="0082735D" w:rsidRDefault="008E6935" w:rsidP="008E6935">
            <w:pPr>
              <w:spacing w:before="120"/>
              <w:rPr>
                <w:rFonts w:ascii="Arial Narrow" w:hAnsi="Arial Narrow"/>
                <w:sz w:val="20"/>
                <w:szCs w:val="20"/>
              </w:rPr>
            </w:pPr>
          </w:p>
        </w:tc>
      </w:tr>
    </w:tbl>
    <w:p w14:paraId="2DB15094"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DC6C90">
        <w:trPr>
          <w:trHeight w:val="711"/>
        </w:trPr>
        <w:tc>
          <w:tcPr>
            <w:tcW w:w="1560" w:type="dxa"/>
            <w:vMerge w:val="restart"/>
            <w:shd w:val="clear" w:color="auto" w:fill="D9D9D9" w:themeFill="background1" w:themeFillShade="D9"/>
          </w:tcPr>
          <w:p w14:paraId="79DD09BA" w14:textId="08CFF9DD" w:rsidR="00961C43" w:rsidRPr="002308BD" w:rsidRDefault="00961C43" w:rsidP="00DC6C9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DC6C9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DC6C90">
        <w:trPr>
          <w:trHeight w:val="300"/>
        </w:trPr>
        <w:tc>
          <w:tcPr>
            <w:tcW w:w="1560" w:type="dxa"/>
            <w:vMerge/>
            <w:shd w:val="clear" w:color="auto" w:fill="D9D9D9" w:themeFill="background1" w:themeFillShade="D9"/>
          </w:tcPr>
          <w:p w14:paraId="2C8382B2" w14:textId="77777777" w:rsidR="00961C43" w:rsidRPr="002308BD" w:rsidRDefault="00961C43" w:rsidP="00DC6C90">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DC6C90">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DC6C90">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DC6C90">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DC6C90">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DC6C90">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B7011F">
        <w:trPr>
          <w:trHeight w:val="1815"/>
        </w:trPr>
        <w:tc>
          <w:tcPr>
            <w:tcW w:w="1560" w:type="dxa"/>
          </w:tcPr>
          <w:p w14:paraId="51502AA3" w14:textId="77777777" w:rsidR="00926974" w:rsidRDefault="00926974" w:rsidP="00B7011F">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Employee travel plans </w:t>
            </w:r>
          </w:p>
        </w:tc>
        <w:tc>
          <w:tcPr>
            <w:tcW w:w="1842" w:type="dxa"/>
          </w:tcPr>
          <w:p w14:paraId="0B8088C2" w14:textId="77777777" w:rsidR="00926974" w:rsidRDefault="00926974" w:rsidP="00B7011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client, public </w:t>
            </w:r>
          </w:p>
        </w:tc>
        <w:tc>
          <w:tcPr>
            <w:tcW w:w="426" w:type="dxa"/>
          </w:tcPr>
          <w:p w14:paraId="5D0B3046"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3</w:t>
            </w:r>
          </w:p>
        </w:tc>
        <w:tc>
          <w:tcPr>
            <w:tcW w:w="425" w:type="dxa"/>
          </w:tcPr>
          <w:p w14:paraId="0C1B9811"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A577A7" w14:textId="77777777" w:rsidR="00926974" w:rsidRPr="008E6935" w:rsidRDefault="00926974" w:rsidP="00B7011F">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7BEC1356" w14:textId="77777777" w:rsidR="00926974" w:rsidRDefault="00926974" w:rsidP="00B7011F">
            <w:pPr>
              <w:numPr>
                <w:ilvl w:val="0"/>
                <w:numId w:val="36"/>
              </w:numPr>
              <w:spacing w:before="120" w:after="120"/>
              <w:ind w:left="357" w:hanging="357"/>
              <w:rPr>
                <w:rFonts w:ascii="Arial Narrow" w:hAnsi="Arial Narrow"/>
                <w:sz w:val="20"/>
                <w:szCs w:val="20"/>
              </w:rPr>
            </w:pPr>
            <w:r>
              <w:rPr>
                <w:rFonts w:ascii="Arial Narrow" w:hAnsi="Arial Narrow"/>
                <w:sz w:val="20"/>
                <w:szCs w:val="20"/>
              </w:rPr>
              <w:t>We will ask employees to inform us if they are leaving the country.</w:t>
            </w:r>
          </w:p>
          <w:p w14:paraId="2AAEC9FF" w14:textId="77777777" w:rsidR="00926974" w:rsidRDefault="00926974" w:rsidP="00B7011F">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government guidance in line with the area / country that they are visiting. </w:t>
            </w:r>
          </w:p>
          <w:p w14:paraId="0E8809F1" w14:textId="77777777" w:rsidR="00926974" w:rsidRDefault="00926974" w:rsidP="00B7011F">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13F20EE9" w14:textId="77777777" w:rsidR="00926974" w:rsidRDefault="00926974" w:rsidP="00B7011F">
            <w:pPr>
              <w:spacing w:before="120"/>
              <w:rPr>
                <w:rFonts w:ascii="Arial Narrow" w:hAnsi="Arial Narrow"/>
                <w:color w:val="FF0000"/>
                <w:sz w:val="20"/>
                <w:szCs w:val="20"/>
              </w:rPr>
            </w:pPr>
          </w:p>
        </w:tc>
        <w:tc>
          <w:tcPr>
            <w:tcW w:w="1345" w:type="dxa"/>
          </w:tcPr>
          <w:p w14:paraId="4832C880" w14:textId="77777777" w:rsidR="00926974" w:rsidRPr="002A19E8" w:rsidRDefault="00926974" w:rsidP="00B7011F">
            <w:pPr>
              <w:spacing w:before="120"/>
              <w:rPr>
                <w:rFonts w:ascii="Arial Narrow" w:hAnsi="Arial Narrow"/>
                <w:color w:val="FF0000"/>
                <w:sz w:val="12"/>
                <w:szCs w:val="20"/>
              </w:rPr>
            </w:pPr>
          </w:p>
        </w:tc>
        <w:tc>
          <w:tcPr>
            <w:tcW w:w="1496" w:type="dxa"/>
          </w:tcPr>
          <w:p w14:paraId="5F42B7C1" w14:textId="77777777" w:rsidR="00926974" w:rsidRDefault="00926974" w:rsidP="00B7011F">
            <w:pPr>
              <w:spacing w:before="120"/>
              <w:jc w:val="center"/>
              <w:rPr>
                <w:rFonts w:ascii="Arial Narrow" w:hAnsi="Arial Narrow"/>
                <w:sz w:val="20"/>
                <w:szCs w:val="20"/>
              </w:rPr>
            </w:pPr>
          </w:p>
        </w:tc>
        <w:tc>
          <w:tcPr>
            <w:tcW w:w="448" w:type="dxa"/>
          </w:tcPr>
          <w:p w14:paraId="1D905E7A"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294C9042" w14:textId="77777777" w:rsidR="00926974" w:rsidRPr="008E6935" w:rsidRDefault="00926974" w:rsidP="00B7011F">
            <w:pPr>
              <w:spacing w:before="120"/>
              <w:jc w:val="center"/>
              <w:rPr>
                <w:rFonts w:ascii="Arial Narrow" w:hAnsi="Arial Narrow"/>
                <w:sz w:val="20"/>
                <w:szCs w:val="20"/>
              </w:rPr>
            </w:pPr>
            <w:r w:rsidRPr="008E6935">
              <w:rPr>
                <w:rFonts w:ascii="Arial Narrow" w:hAnsi="Arial Narrow"/>
                <w:sz w:val="20"/>
                <w:szCs w:val="20"/>
              </w:rPr>
              <w:t>M</w:t>
            </w:r>
          </w:p>
          <w:p w14:paraId="7946F96F" w14:textId="77777777" w:rsidR="00926974" w:rsidRDefault="00926974" w:rsidP="00B7011F">
            <w:pPr>
              <w:spacing w:before="120"/>
              <w:jc w:val="center"/>
              <w:rPr>
                <w:rFonts w:ascii="Arial Narrow" w:hAnsi="Arial Narrow"/>
                <w:sz w:val="20"/>
                <w:szCs w:val="20"/>
              </w:rPr>
            </w:pPr>
          </w:p>
        </w:tc>
      </w:tr>
      <w:tr w:rsidR="00E84F55" w:rsidRPr="0082735D" w14:paraId="2246F4BD" w14:textId="77777777" w:rsidTr="008E6935">
        <w:trPr>
          <w:trHeight w:val="1815"/>
        </w:trPr>
        <w:tc>
          <w:tcPr>
            <w:tcW w:w="1560" w:type="dxa"/>
          </w:tcPr>
          <w:p w14:paraId="496E9912" w14:textId="65382585" w:rsidR="00E84F55" w:rsidRDefault="00E84F55" w:rsidP="00503C57">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503C57">
            <w:pPr>
              <w:spacing w:before="120"/>
              <w:rPr>
                <w:rFonts w:ascii="Arial Narrow" w:hAnsi="Arial Narrow"/>
                <w:sz w:val="20"/>
                <w:szCs w:val="20"/>
              </w:rPr>
            </w:pPr>
          </w:p>
        </w:tc>
        <w:tc>
          <w:tcPr>
            <w:tcW w:w="1842" w:type="dxa"/>
          </w:tcPr>
          <w:p w14:paraId="36038483" w14:textId="39DCA183" w:rsidR="00E84F55" w:rsidRDefault="00E84F55"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C04A0">
              <w:rPr>
                <w:rFonts w:ascii="Arial Narrow" w:hAnsi="Arial Narrow" w:cs="Arial"/>
                <w:sz w:val="20"/>
                <w:szCs w:val="20"/>
              </w:rPr>
              <w:t>Employees, client</w:t>
            </w:r>
          </w:p>
          <w:p w14:paraId="3FFF6AA2" w14:textId="77777777" w:rsidR="00E84F55" w:rsidRPr="002308BD" w:rsidRDefault="00E84F55" w:rsidP="00503C57">
            <w:pPr>
              <w:spacing w:before="120"/>
              <w:rPr>
                <w:rFonts w:ascii="Arial Narrow" w:hAnsi="Arial Narrow"/>
                <w:sz w:val="20"/>
                <w:szCs w:val="20"/>
              </w:rPr>
            </w:pPr>
          </w:p>
        </w:tc>
        <w:tc>
          <w:tcPr>
            <w:tcW w:w="426" w:type="dxa"/>
          </w:tcPr>
          <w:p w14:paraId="44AAA8E9" w14:textId="5562C27C" w:rsidR="00E84F55" w:rsidRDefault="00AC04A0" w:rsidP="00503C57">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503C57">
            <w:pPr>
              <w:spacing w:before="120"/>
              <w:rPr>
                <w:rFonts w:ascii="Arial Narrow" w:hAnsi="Arial Narrow"/>
                <w:sz w:val="20"/>
                <w:szCs w:val="20"/>
              </w:rPr>
            </w:pPr>
          </w:p>
        </w:tc>
        <w:tc>
          <w:tcPr>
            <w:tcW w:w="425" w:type="dxa"/>
          </w:tcPr>
          <w:p w14:paraId="51CE4BC5" w14:textId="55FF0C9B" w:rsidR="00E84F55" w:rsidRDefault="00AC04A0" w:rsidP="00503C57">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503C57">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503C57">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503C57">
            <w:pPr>
              <w:spacing w:before="120"/>
              <w:rPr>
                <w:rFonts w:ascii="Arial Narrow" w:hAnsi="Arial Narrow"/>
                <w:sz w:val="20"/>
                <w:szCs w:val="20"/>
              </w:rPr>
            </w:pPr>
          </w:p>
        </w:tc>
        <w:tc>
          <w:tcPr>
            <w:tcW w:w="3260" w:type="dxa"/>
          </w:tcPr>
          <w:p w14:paraId="01E08F72" w14:textId="33599C7F"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campaign posters will be displayed in the welfare areas and in suitable places around site. </w:t>
            </w:r>
          </w:p>
          <w:p w14:paraId="43F6C74A" w14:textId="71E229F1"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1EEBB72C" w14:textId="22920F39" w:rsidR="00E84F55" w:rsidRPr="00AC04A0" w:rsidRDefault="00AC04A0" w:rsidP="00503C5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new government / WHO guidance as and when it is available. </w:t>
            </w:r>
          </w:p>
        </w:tc>
        <w:tc>
          <w:tcPr>
            <w:tcW w:w="2879" w:type="dxa"/>
          </w:tcPr>
          <w:p w14:paraId="53DED3A6" w14:textId="77777777" w:rsidR="00E84F55" w:rsidRDefault="00E84F55" w:rsidP="00503C57">
            <w:pPr>
              <w:spacing w:before="120"/>
              <w:rPr>
                <w:rFonts w:ascii="Arial Narrow" w:hAnsi="Arial Narrow"/>
                <w:color w:val="FF0000"/>
                <w:sz w:val="20"/>
                <w:szCs w:val="20"/>
              </w:rPr>
            </w:pPr>
            <w:r>
              <w:rPr>
                <w:rFonts w:ascii="Arial Narrow" w:hAnsi="Arial Narrow"/>
                <w:color w:val="FF0000"/>
                <w:sz w:val="20"/>
                <w:szCs w:val="20"/>
              </w:rPr>
              <w:t xml:space="preserve"> </w:t>
            </w:r>
          </w:p>
          <w:p w14:paraId="266A6EC8" w14:textId="77777777" w:rsidR="00E84F55" w:rsidRPr="00766991" w:rsidRDefault="00E84F55" w:rsidP="00503C57">
            <w:pPr>
              <w:spacing w:before="120"/>
              <w:rPr>
                <w:rFonts w:ascii="Arial Narrow" w:hAnsi="Arial Narrow"/>
                <w:color w:val="FF0000"/>
                <w:sz w:val="20"/>
                <w:szCs w:val="20"/>
              </w:rPr>
            </w:pPr>
          </w:p>
        </w:tc>
        <w:tc>
          <w:tcPr>
            <w:tcW w:w="1345" w:type="dxa"/>
          </w:tcPr>
          <w:p w14:paraId="5C28C293" w14:textId="77777777" w:rsidR="00E84F55" w:rsidRPr="002A19E8" w:rsidRDefault="00E84F55" w:rsidP="00503C57">
            <w:pPr>
              <w:spacing w:before="120"/>
              <w:rPr>
                <w:rFonts w:ascii="Arial Narrow" w:hAnsi="Arial Narrow"/>
                <w:color w:val="FF0000"/>
                <w:sz w:val="12"/>
                <w:szCs w:val="20"/>
              </w:rPr>
            </w:pPr>
          </w:p>
          <w:p w14:paraId="22BD6C07" w14:textId="77777777" w:rsidR="00E84F55" w:rsidRPr="001B1C8C" w:rsidRDefault="00E84F55" w:rsidP="00503C57">
            <w:pPr>
              <w:spacing w:before="120"/>
              <w:rPr>
                <w:rFonts w:ascii="Arial Narrow" w:hAnsi="Arial Narrow"/>
                <w:color w:val="FF0000"/>
                <w:sz w:val="20"/>
                <w:szCs w:val="20"/>
              </w:rPr>
            </w:pPr>
          </w:p>
        </w:tc>
        <w:tc>
          <w:tcPr>
            <w:tcW w:w="1496" w:type="dxa"/>
          </w:tcPr>
          <w:p w14:paraId="57E60E3A" w14:textId="77777777" w:rsidR="00E84F55" w:rsidRDefault="00E84F55" w:rsidP="00503C57">
            <w:pPr>
              <w:spacing w:before="120"/>
              <w:jc w:val="center"/>
              <w:rPr>
                <w:rFonts w:ascii="Arial Narrow" w:hAnsi="Arial Narrow"/>
                <w:sz w:val="20"/>
                <w:szCs w:val="20"/>
              </w:rPr>
            </w:pPr>
          </w:p>
          <w:p w14:paraId="2FBC9E10" w14:textId="77777777" w:rsidR="00E84F55" w:rsidRPr="002308BD" w:rsidRDefault="00E84F55" w:rsidP="00503C57">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21E153AF" w14:textId="7C16F996" w:rsidR="00E84F55" w:rsidRPr="008E6935" w:rsidRDefault="008E6935" w:rsidP="00503C57">
            <w:pPr>
              <w:spacing w:before="120"/>
              <w:jc w:val="center"/>
              <w:rPr>
                <w:rFonts w:ascii="Arial Narrow" w:hAnsi="Arial Narrow"/>
                <w:sz w:val="20"/>
                <w:szCs w:val="20"/>
              </w:rPr>
            </w:pPr>
            <w:r w:rsidRPr="008E6935">
              <w:rPr>
                <w:rFonts w:ascii="Arial Narrow" w:hAnsi="Arial Narrow"/>
                <w:sz w:val="20"/>
                <w:szCs w:val="20"/>
              </w:rPr>
              <w:t>M</w:t>
            </w:r>
          </w:p>
          <w:p w14:paraId="5C541F70" w14:textId="77777777" w:rsidR="00E84F55" w:rsidRPr="008E6935" w:rsidRDefault="00E84F55" w:rsidP="00503C57">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77777777" w:rsidR="00E84F55" w:rsidRDefault="00E84F55" w:rsidP="000E2994">
      <w:pPr>
        <w:rPr>
          <w:rFonts w:ascii="Arial" w:hAnsi="Arial" w:cs="Arial"/>
          <w:b/>
          <w:sz w:val="36"/>
          <w:szCs w:val="36"/>
        </w:rPr>
      </w:pPr>
    </w:p>
    <w:p w14:paraId="1A67B5FE" w14:textId="77777777" w:rsidR="00717D81" w:rsidRDefault="00717D81" w:rsidP="000E2994">
      <w:pPr>
        <w:rPr>
          <w:rFonts w:ascii="Arial" w:hAnsi="Arial" w:cs="Arial"/>
          <w:b/>
          <w:sz w:val="36"/>
          <w:szCs w:val="36"/>
        </w:rPr>
      </w:pPr>
    </w:p>
    <w:p w14:paraId="25E0C12C" w14:textId="78DC70D4" w:rsidR="009F6B53" w:rsidRPr="00717D81" w:rsidRDefault="000E07D3" w:rsidP="009F6B53">
      <w:r>
        <w:rPr>
          <w:rFonts w:ascii="Arial" w:hAnsi="Arial" w:cs="Arial"/>
          <w:b/>
          <w:sz w:val="36"/>
          <w:szCs w:val="36"/>
        </w:rPr>
        <w:lastRenderedPageBreak/>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503C57">
        <w:trPr>
          <w:trHeight w:val="1508"/>
        </w:trPr>
        <w:tc>
          <w:tcPr>
            <w:tcW w:w="15694" w:type="dxa"/>
            <w:shd w:val="clear" w:color="auto" w:fill="D9D9D9" w:themeFill="background1" w:themeFillShade="D9"/>
          </w:tcPr>
          <w:p w14:paraId="25E60FCA" w14:textId="77777777" w:rsidR="00717D81" w:rsidRPr="00E342B4" w:rsidRDefault="00717D81" w:rsidP="00503C57">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5F88051" w14:textId="77777777" w:rsidR="00717D81" w:rsidRPr="00E342B4"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503C57">
        <w:trPr>
          <w:trHeight w:val="432"/>
        </w:trPr>
        <w:tc>
          <w:tcPr>
            <w:tcW w:w="2615" w:type="dxa"/>
            <w:shd w:val="clear" w:color="auto" w:fill="D9D9D9" w:themeFill="background1" w:themeFillShade="D9"/>
            <w:vAlign w:val="center"/>
          </w:tcPr>
          <w:p w14:paraId="33253AE6" w14:textId="77777777" w:rsidR="00717D81" w:rsidRPr="00E342B4" w:rsidRDefault="00717D81" w:rsidP="00503C57">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503C57">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503C57">
        <w:trPr>
          <w:trHeight w:val="432"/>
        </w:trPr>
        <w:tc>
          <w:tcPr>
            <w:tcW w:w="2615" w:type="dxa"/>
            <w:shd w:val="clear" w:color="auto" w:fill="D9D9D9" w:themeFill="background1" w:themeFillShade="D9"/>
            <w:vAlign w:val="center"/>
          </w:tcPr>
          <w:p w14:paraId="07F2D713" w14:textId="77777777" w:rsidR="00717D81" w:rsidRPr="00E342B4" w:rsidRDefault="00717D81" w:rsidP="00503C57">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503C57">
            <w:pPr>
              <w:rPr>
                <w:rFonts w:ascii="Arial Narrow" w:hAnsi="Arial Narrow"/>
                <w:b/>
                <w:sz w:val="20"/>
                <w:szCs w:val="20"/>
              </w:rPr>
            </w:pPr>
          </w:p>
        </w:tc>
      </w:tr>
    </w:tbl>
    <w:p w14:paraId="527026A4" w14:textId="1EADF8CE" w:rsidR="00992D13" w:rsidRDefault="00992D13">
      <w:r>
        <w:br w:type="page"/>
      </w:r>
    </w:p>
    <w:p w14:paraId="132ECAD5"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1FF49DE9" w14:textId="061517AB"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8CD31" w14:textId="77777777" w:rsidR="00263D6F" w:rsidRDefault="00263D6F">
      <w:r>
        <w:separator/>
      </w:r>
    </w:p>
  </w:endnote>
  <w:endnote w:type="continuationSeparator" w:id="0">
    <w:p w14:paraId="62E19D4E" w14:textId="77777777" w:rsidR="00263D6F" w:rsidRDefault="0026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5FF6" w14:textId="77777777" w:rsidR="00263D6F" w:rsidRDefault="00263D6F"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263D6F" w:rsidRDefault="00263D6F"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980C" w14:textId="7100B412" w:rsidR="00E84F55" w:rsidRPr="00AC04A0" w:rsidRDefault="0055584D"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717D81" w:rsidRPr="00717D81">
              <w:rPr>
                <w:rFonts w:ascii="Arial" w:hAnsi="Arial" w:cs="Arial"/>
                <w:sz w:val="22"/>
                <w:szCs w:val="22"/>
              </w:rPr>
              <w:t xml:space="preserve">Page </w:t>
            </w:r>
            <w:r w:rsidR="00717D81" w:rsidRPr="00717D81">
              <w:rPr>
                <w:rFonts w:ascii="Arial" w:hAnsi="Arial" w:cs="Arial"/>
                <w:bCs/>
                <w:sz w:val="22"/>
                <w:szCs w:val="22"/>
              </w:rPr>
              <w:fldChar w:fldCharType="begin"/>
            </w:r>
            <w:r w:rsidR="00717D81" w:rsidRPr="00717D81">
              <w:rPr>
                <w:rFonts w:ascii="Arial" w:hAnsi="Arial" w:cs="Arial"/>
                <w:bCs/>
                <w:sz w:val="22"/>
                <w:szCs w:val="22"/>
              </w:rPr>
              <w:instrText xml:space="preserve"> PAGE </w:instrText>
            </w:r>
            <w:r w:rsidR="00717D81" w:rsidRPr="00717D81">
              <w:rPr>
                <w:rFonts w:ascii="Arial" w:hAnsi="Arial" w:cs="Arial"/>
                <w:bCs/>
                <w:sz w:val="22"/>
                <w:szCs w:val="22"/>
              </w:rPr>
              <w:fldChar w:fldCharType="separate"/>
            </w:r>
            <w:r>
              <w:rPr>
                <w:rFonts w:ascii="Arial" w:hAnsi="Arial" w:cs="Arial"/>
                <w:bCs/>
                <w:noProof/>
                <w:sz w:val="22"/>
                <w:szCs w:val="22"/>
              </w:rPr>
              <w:t>2</w:t>
            </w:r>
            <w:r w:rsidR="00717D81" w:rsidRPr="00717D81">
              <w:rPr>
                <w:rFonts w:ascii="Arial" w:hAnsi="Arial" w:cs="Arial"/>
                <w:bCs/>
                <w:sz w:val="22"/>
                <w:szCs w:val="22"/>
              </w:rPr>
              <w:fldChar w:fldCharType="end"/>
            </w:r>
            <w:r w:rsidR="00717D81" w:rsidRPr="00717D81">
              <w:rPr>
                <w:rFonts w:ascii="Arial" w:hAnsi="Arial" w:cs="Arial"/>
                <w:sz w:val="22"/>
                <w:szCs w:val="22"/>
              </w:rPr>
              <w:t xml:space="preserve"> of </w:t>
            </w:r>
            <w:r w:rsidR="00717D81" w:rsidRPr="00717D81">
              <w:rPr>
                <w:rFonts w:ascii="Arial" w:hAnsi="Arial" w:cs="Arial"/>
                <w:bCs/>
                <w:sz w:val="22"/>
                <w:szCs w:val="22"/>
              </w:rPr>
              <w:fldChar w:fldCharType="begin"/>
            </w:r>
            <w:r w:rsidR="00717D81" w:rsidRPr="00717D81">
              <w:rPr>
                <w:rFonts w:ascii="Arial" w:hAnsi="Arial" w:cs="Arial"/>
                <w:bCs/>
                <w:sz w:val="22"/>
                <w:szCs w:val="22"/>
              </w:rPr>
              <w:instrText xml:space="preserve"> NUMPAGES  </w:instrText>
            </w:r>
            <w:r w:rsidR="00717D81" w:rsidRPr="00717D81">
              <w:rPr>
                <w:rFonts w:ascii="Arial" w:hAnsi="Arial" w:cs="Arial"/>
                <w:bCs/>
                <w:sz w:val="22"/>
                <w:szCs w:val="22"/>
              </w:rPr>
              <w:fldChar w:fldCharType="separate"/>
            </w:r>
            <w:r>
              <w:rPr>
                <w:rFonts w:ascii="Arial" w:hAnsi="Arial" w:cs="Arial"/>
                <w:bCs/>
                <w:noProof/>
                <w:sz w:val="22"/>
                <w:szCs w:val="22"/>
              </w:rPr>
              <w:t>6</w:t>
            </w:r>
            <w:r w:rsidR="00717D81" w:rsidRPr="00717D81">
              <w:rPr>
                <w:rFonts w:ascii="Arial" w:hAnsi="Arial" w:cs="Arial"/>
                <w:bCs/>
                <w:sz w:val="22"/>
                <w:szCs w:val="22"/>
              </w:rPr>
              <w:fldChar w:fldCharType="end"/>
            </w:r>
          </w:sdtContent>
        </w:sdt>
      </w:sdtContent>
    </w:sdt>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717D81">
      <w:rPr>
        <w:rFonts w:ascii="Arial" w:hAnsi="Arial" w:cs="Arial"/>
        <w:color w:val="808080"/>
        <w:sz w:val="22"/>
        <w:szCs w:val="22"/>
      </w:rPr>
      <w:t>SKA/RIS/003     V2</w:t>
    </w:r>
  </w:p>
  <w:p w14:paraId="65FA90C4" w14:textId="5B2BBE94" w:rsidR="00717D81" w:rsidRDefault="00717D81" w:rsidP="005B35FE">
    <w:pPr>
      <w:rPr>
        <w:rFonts w:ascii="Arial" w:hAnsi="Arial" w:cs="Arial"/>
        <w:color w:val="808080"/>
        <w:sz w:val="22"/>
        <w:szCs w:val="22"/>
      </w:rPr>
    </w:pPr>
  </w:p>
  <w:p w14:paraId="44D4E232" w14:textId="77777777" w:rsidR="00717D81" w:rsidRPr="005B35FE" w:rsidRDefault="00717D81" w:rsidP="00717D81">
    <w:pPr>
      <w:rPr>
        <w:rFonts w:ascii="Arial" w:hAnsi="Arial" w:cs="Arial"/>
        <w:color w:val="808080"/>
        <w:sz w:val="16"/>
        <w:szCs w:val="16"/>
      </w:rPr>
    </w:pPr>
    <w:r w:rsidRPr="005B35FE">
      <w:rPr>
        <w:rFonts w:ascii="Arial" w:hAnsi="Arial" w:cs="Arial"/>
        <w:color w:val="808080"/>
        <w:sz w:val="16"/>
        <w:szCs w:val="16"/>
      </w:rPr>
      <w:t>© Stallard Kane Associates Ltd</w:t>
    </w:r>
  </w:p>
  <w:p w14:paraId="35F661D2" w14:textId="77777777" w:rsidR="00717D81" w:rsidRPr="005B35FE" w:rsidRDefault="00717D81" w:rsidP="00717D81">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383B0AD5" w14:textId="77777777" w:rsidR="00717D81" w:rsidRPr="00717D81" w:rsidRDefault="00717D81" w:rsidP="005B35FE">
    <w:pPr>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0DCC7" w14:textId="77777777" w:rsidR="00263D6F" w:rsidRDefault="00263D6F">
      <w:r>
        <w:separator/>
      </w:r>
    </w:p>
  </w:footnote>
  <w:footnote w:type="continuationSeparator" w:id="0">
    <w:p w14:paraId="0F1D305B" w14:textId="77777777" w:rsidR="00263D6F" w:rsidRDefault="00263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42F3" w14:textId="03389268" w:rsidR="00263D6F" w:rsidRPr="005B35FE" w:rsidRDefault="00263D6F" w:rsidP="0062049A">
    <w:pPr>
      <w:ind w:right="-46"/>
      <w:rPr>
        <w:rFonts w:ascii="Arial" w:hAnsi="Arial" w:cs="Arial"/>
        <w:b/>
        <w:color w:val="578F97"/>
        <w:sz w:val="40"/>
        <w:szCs w:val="40"/>
      </w:rPr>
    </w:pPr>
    <w:r w:rsidRPr="005B35FE">
      <w:rPr>
        <w:rFonts w:ascii="Arial" w:hAnsi="Arial" w:cs="Arial"/>
        <w:b/>
        <w:noProof/>
        <w:color w:val="578F97"/>
        <w:sz w:val="40"/>
        <w:szCs w:val="40"/>
      </w:rPr>
      <w:drawing>
        <wp:anchor distT="0" distB="0" distL="114300" distR="114300" simplePos="0" relativeHeight="251658240" behindDoc="1" locked="0" layoutInCell="1" allowOverlap="1" wp14:anchorId="27E09D93" wp14:editId="4DD69F67">
          <wp:simplePos x="0" y="0"/>
          <wp:positionH relativeFrom="margin">
            <wp:align>right</wp:align>
          </wp:positionH>
          <wp:positionV relativeFrom="paragraph">
            <wp:posOffset>-215265</wp:posOffset>
          </wp:positionV>
          <wp:extent cx="659765" cy="659765"/>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5B35FE">
      <w:rPr>
        <w:rFonts w:ascii="Arial" w:hAnsi="Arial" w:cs="Arial"/>
        <w:b/>
        <w:color w:val="578F97"/>
        <w:sz w:val="40"/>
        <w:szCs w:val="40"/>
      </w:rPr>
      <w:t xml:space="preserve">Risk Assessment </w:t>
    </w:r>
  </w:p>
  <w:p w14:paraId="79919978" w14:textId="7AA615DE" w:rsidR="00263D6F" w:rsidRDefault="00263D6F"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580FAF7D" w14:textId="77777777" w:rsidR="00263D6F" w:rsidRPr="005B35FE" w:rsidRDefault="00263D6F" w:rsidP="005B35FE">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310D93"/>
    <w:rsid w:val="0031525E"/>
    <w:rsid w:val="00322213"/>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C54E6"/>
    <w:rsid w:val="006C6DB6"/>
    <w:rsid w:val="006E6B3F"/>
    <w:rsid w:val="00702611"/>
    <w:rsid w:val="00717D81"/>
    <w:rsid w:val="00722C73"/>
    <w:rsid w:val="00734145"/>
    <w:rsid w:val="00735572"/>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E3CDD"/>
    <w:rsid w:val="009F2A4B"/>
    <w:rsid w:val="009F58DD"/>
    <w:rsid w:val="009F6B53"/>
    <w:rsid w:val="00A035B8"/>
    <w:rsid w:val="00A06B8B"/>
    <w:rsid w:val="00A55CB5"/>
    <w:rsid w:val="00A644EA"/>
    <w:rsid w:val="00A7705B"/>
    <w:rsid w:val="00A82CCA"/>
    <w:rsid w:val="00A905D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2AFB"/>
    <w:rsid w:val="00B94A5D"/>
    <w:rsid w:val="00BA1E38"/>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62C1D-1FF0-4A29-A0E5-3082E535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884</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Barry Nicol</cp:lastModifiedBy>
  <cp:revision>2</cp:revision>
  <cp:lastPrinted>2017-03-29T11:15:00Z</cp:lastPrinted>
  <dcterms:created xsi:type="dcterms:W3CDTF">2020-03-17T09:47:00Z</dcterms:created>
  <dcterms:modified xsi:type="dcterms:W3CDTF">2020-03-17T09:47:00Z</dcterms:modified>
</cp:coreProperties>
</file>